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5B7F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B121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638B" w:rsidRP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6"/>
        <w:gridCol w:w="4086"/>
      </w:tblGrid>
      <w:tr w:rsidR="0036638B" w:rsidTr="00860F22">
        <w:tc>
          <w:tcPr>
            <w:tcW w:w="5778" w:type="dxa"/>
            <w:vAlign w:val="center"/>
          </w:tcPr>
          <w:p w:rsidR="005B7F9D" w:rsidRDefault="0036638B" w:rsidP="005B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</w:pPr>
            <w:r w:rsidRPr="006A05B9"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  <w:t xml:space="preserve">НАУЧНЫЕ ШКОЛЫ </w:t>
            </w:r>
          </w:p>
          <w:p w:rsidR="0036638B" w:rsidRPr="006A05B9" w:rsidRDefault="005B7F9D" w:rsidP="005B7F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  <w:t>СИБИРСКОГО ФЕДЕРАЛЬНОГО УНИВЕРСИТЕТА</w:t>
            </w:r>
          </w:p>
        </w:tc>
        <w:tc>
          <w:tcPr>
            <w:tcW w:w="3793" w:type="dxa"/>
          </w:tcPr>
          <w:p w:rsidR="0036638B" w:rsidRDefault="005B7F9D" w:rsidP="005B7F9D">
            <w:pPr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B1F819" wp14:editId="7987B231">
                  <wp:extent cx="2456953" cy="1602804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000" cy="160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A17" w:rsidRDefault="000A5A17" w:rsidP="000A5A17">
      <w:pPr>
        <w:ind w:firstLine="709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300BE3" w:rsidTr="00E3361F">
        <w:trPr>
          <w:trHeight w:val="4117"/>
        </w:trPr>
        <w:tc>
          <w:tcPr>
            <w:tcW w:w="3510" w:type="dxa"/>
          </w:tcPr>
          <w:p w:rsidR="00300BE3" w:rsidRDefault="00D02CB4" w:rsidP="00B44ED5">
            <w:pPr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FEB509" wp14:editId="627401E5">
                  <wp:extent cx="1971923" cy="2520564"/>
                  <wp:effectExtent l="133350" t="152400" r="161925" b="1847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739" cy="2533111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B81BA0" w:rsidRDefault="00B81BA0" w:rsidP="003075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ОПИСАНИЕ НАУЧНОЙ ШКОЛЫ</w:t>
            </w:r>
            <w:r w:rsidR="005B7F9D" w:rsidRPr="005B7F9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C80D7F" w:rsidRPr="00C80D7F" w:rsidRDefault="00C80D7F" w:rsidP="00C80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C80D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А. К. ЦИХА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C80D7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«ИНТЕГРАЛЬНЫЕ МЕТОДЫ В КОМПЛЕКСНОМ АНАЛИЗЕ И АЛГЕБРАИЧЕСКОЙ ГЕОМЕТРИИ»</w:t>
            </w:r>
          </w:p>
          <w:p w:rsidR="001E634B" w:rsidRDefault="007A219A" w:rsidP="008B121C">
            <w:pPr>
              <w:spacing w:before="240" w:line="276" w:lineRule="auto"/>
              <w:ind w:right="34" w:firstLine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21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научной школы – </w:t>
            </w:r>
            <w:proofErr w:type="spellStart"/>
            <w:r w:rsidR="00D02CB4" w:rsidRPr="00D02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Цих</w:t>
            </w:r>
            <w:proofErr w:type="spellEnd"/>
            <w:r w:rsidR="00D02CB4" w:rsidRPr="00D0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02CB4" w:rsidRPr="00D02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Август</w:t>
            </w:r>
            <w:r w:rsidR="00D02CB4" w:rsidRPr="00D0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02CB4" w:rsidRPr="00D02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Карлович</w:t>
            </w:r>
            <w:r w:rsidR="00D02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D02CB4" w:rsidRPr="00D02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доктор физико-математических наук, профессор</w:t>
            </w:r>
            <w:r w:rsidR="00C80D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3361F" w:rsidRPr="00C80D7F" w:rsidRDefault="00E3361F" w:rsidP="00E3361F">
            <w:pPr>
              <w:pStyle w:val="3"/>
              <w:shd w:val="clear" w:color="auto" w:fill="FFFFFF"/>
              <w:spacing w:line="27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0D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Общие сведения о школе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E3361F" w:rsidRPr="007A219A" w:rsidRDefault="00E3361F" w:rsidP="00E3361F">
            <w:pPr>
              <w:spacing w:line="276" w:lineRule="auto"/>
              <w:ind w:right="34"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D7F">
              <w:rPr>
                <w:rFonts w:ascii="Times New Roman" w:hAnsi="Times New Roman" w:cs="Times New Roman"/>
                <w:sz w:val="28"/>
                <w:szCs w:val="28"/>
              </w:rPr>
              <w:t>Красноярская научная школа по многомерному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D7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D7F">
              <w:rPr>
                <w:rFonts w:ascii="Times New Roman" w:hAnsi="Times New Roman" w:cs="Times New Roman"/>
                <w:sz w:val="28"/>
                <w:szCs w:val="28"/>
              </w:rPr>
              <w:t>анализу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D7F">
              <w:rPr>
                <w:rFonts w:ascii="Times New Roman" w:hAnsi="Times New Roman" w:cs="Times New Roman"/>
                <w:sz w:val="28"/>
                <w:szCs w:val="28"/>
              </w:rPr>
              <w:t>стала</w:t>
            </w:r>
            <w:r w:rsidRPr="00C80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D7F">
              <w:rPr>
                <w:rFonts w:ascii="Times New Roman" w:hAnsi="Times New Roman" w:cs="Times New Roman"/>
                <w:sz w:val="28"/>
                <w:szCs w:val="28"/>
              </w:rPr>
              <w:t>формироваться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D7F">
              <w:rPr>
                <w:sz w:val="28"/>
                <w:szCs w:val="28"/>
              </w:rPr>
              <w:t xml:space="preserve"> </w:t>
            </w:r>
            <w:r w:rsidRPr="00C80D7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D7F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D7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D7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руководством</w:t>
            </w:r>
          </w:p>
        </w:tc>
      </w:tr>
    </w:tbl>
    <w:p w:rsidR="00D02CB4" w:rsidRPr="00C80D7F" w:rsidRDefault="00D02CB4" w:rsidP="00E3361F">
      <w:pPr>
        <w:pStyle w:val="a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80D7F">
        <w:rPr>
          <w:sz w:val="28"/>
          <w:szCs w:val="28"/>
        </w:rPr>
        <w:t>Л.</w:t>
      </w:r>
      <w:r w:rsidR="00E3361F">
        <w:rPr>
          <w:sz w:val="28"/>
          <w:szCs w:val="28"/>
        </w:rPr>
        <w:t xml:space="preserve"> </w:t>
      </w:r>
      <w:r w:rsidRPr="00C80D7F">
        <w:rPr>
          <w:sz w:val="28"/>
          <w:szCs w:val="28"/>
        </w:rPr>
        <w:t xml:space="preserve">А. </w:t>
      </w:r>
      <w:proofErr w:type="spellStart"/>
      <w:r w:rsidRPr="00C80D7F">
        <w:rPr>
          <w:sz w:val="28"/>
          <w:szCs w:val="28"/>
        </w:rPr>
        <w:t>Айзенберга</w:t>
      </w:r>
      <w:proofErr w:type="spellEnd"/>
      <w:r w:rsidRPr="00C80D7F">
        <w:rPr>
          <w:sz w:val="28"/>
          <w:szCs w:val="28"/>
        </w:rPr>
        <w:t xml:space="preserve"> и А.П. Южакова; первый из них возглавил направление по интегральным представлениям для голоморфных функций, а второй – теорию многомерных вычетов, заложенную в работах Е. </w:t>
      </w:r>
      <w:proofErr w:type="spellStart"/>
      <w:r w:rsidRPr="00C80D7F">
        <w:rPr>
          <w:sz w:val="28"/>
          <w:szCs w:val="28"/>
        </w:rPr>
        <w:t>Мартинелли</w:t>
      </w:r>
      <w:proofErr w:type="spellEnd"/>
      <w:r w:rsidRPr="00C80D7F">
        <w:rPr>
          <w:sz w:val="28"/>
          <w:szCs w:val="28"/>
        </w:rPr>
        <w:t xml:space="preserve"> (E.</w:t>
      </w:r>
      <w:proofErr w:type="gramEnd"/>
      <w:r w:rsidRPr="00C80D7F">
        <w:rPr>
          <w:sz w:val="28"/>
          <w:szCs w:val="28"/>
        </w:rPr>
        <w:t xml:space="preserve"> </w:t>
      </w:r>
      <w:proofErr w:type="spellStart"/>
      <w:r w:rsidRPr="00C80D7F">
        <w:rPr>
          <w:sz w:val="28"/>
          <w:szCs w:val="28"/>
        </w:rPr>
        <w:t>Martinelli</w:t>
      </w:r>
      <w:proofErr w:type="spellEnd"/>
      <w:r w:rsidRPr="00C80D7F">
        <w:rPr>
          <w:sz w:val="28"/>
          <w:szCs w:val="28"/>
        </w:rPr>
        <w:t>) и Ж.-П. Лере (J.-P. </w:t>
      </w:r>
      <w:proofErr w:type="spellStart"/>
      <w:proofErr w:type="gramStart"/>
      <w:r w:rsidRPr="00C80D7F">
        <w:rPr>
          <w:sz w:val="28"/>
          <w:szCs w:val="28"/>
        </w:rPr>
        <w:t>Leray</w:t>
      </w:r>
      <w:proofErr w:type="spellEnd"/>
      <w:r w:rsidRPr="00C80D7F">
        <w:rPr>
          <w:sz w:val="28"/>
          <w:szCs w:val="28"/>
        </w:rPr>
        <w:t>).</w:t>
      </w:r>
      <w:proofErr w:type="gramEnd"/>
    </w:p>
    <w:p w:rsidR="008118F2" w:rsidRPr="004C4FEB" w:rsidRDefault="00D02CB4" w:rsidP="004C4FEB">
      <w:pPr>
        <w:pStyle w:val="ad"/>
        <w:shd w:val="clear" w:color="auto" w:fill="FFFFFF"/>
        <w:spacing w:before="24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4C4FEB">
        <w:rPr>
          <w:b/>
          <w:sz w:val="28"/>
          <w:szCs w:val="28"/>
        </w:rPr>
        <w:t>За годы становления школы</w:t>
      </w:r>
      <w:r w:rsidR="008118F2" w:rsidRPr="004C4FEB">
        <w:rPr>
          <w:b/>
          <w:sz w:val="28"/>
          <w:szCs w:val="28"/>
        </w:rPr>
        <w:t>:</w:t>
      </w:r>
    </w:p>
    <w:p w:rsidR="008118F2" w:rsidRDefault="008118F2" w:rsidP="00552F76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D02CB4" w:rsidRPr="00C80D7F">
        <w:rPr>
          <w:sz w:val="28"/>
          <w:szCs w:val="28"/>
        </w:rPr>
        <w:t xml:space="preserve">озданы основные принципы </w:t>
      </w:r>
      <w:bookmarkStart w:id="0" w:name="_GoBack"/>
      <w:bookmarkEnd w:id="0"/>
      <w:r w:rsidR="00D02CB4" w:rsidRPr="00C80D7F">
        <w:rPr>
          <w:sz w:val="28"/>
          <w:szCs w:val="28"/>
        </w:rPr>
        <w:t>теории интегр</w:t>
      </w:r>
      <w:r>
        <w:rPr>
          <w:sz w:val="28"/>
          <w:szCs w:val="28"/>
        </w:rPr>
        <w:t>альных представлений и вычетов.</w:t>
      </w:r>
    </w:p>
    <w:p w:rsidR="008118F2" w:rsidRDefault="008118F2" w:rsidP="00552F76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8118F2">
        <w:rPr>
          <w:sz w:val="28"/>
          <w:szCs w:val="28"/>
        </w:rPr>
        <w:t>У</w:t>
      </w:r>
      <w:r w:rsidR="00D02CB4" w:rsidRPr="008118F2">
        <w:rPr>
          <w:sz w:val="28"/>
          <w:szCs w:val="28"/>
        </w:rPr>
        <w:t>становлены связи интегральных методов с алгебраическими и дифференциальными уравнениями. Эти исследования отражены в монографиях Л.А. </w:t>
      </w:r>
      <w:proofErr w:type="spellStart"/>
      <w:r w:rsidR="00D02CB4" w:rsidRPr="008118F2">
        <w:rPr>
          <w:sz w:val="28"/>
          <w:szCs w:val="28"/>
        </w:rPr>
        <w:t>Айзенберга</w:t>
      </w:r>
      <w:proofErr w:type="spellEnd"/>
      <w:r w:rsidR="00D02CB4" w:rsidRPr="008118F2">
        <w:rPr>
          <w:sz w:val="28"/>
          <w:szCs w:val="28"/>
        </w:rPr>
        <w:t xml:space="preserve"> и А.П. Южакова; А.К. </w:t>
      </w:r>
      <w:proofErr w:type="spellStart"/>
      <w:r w:rsidR="00D02CB4" w:rsidRPr="008118F2">
        <w:rPr>
          <w:sz w:val="28"/>
          <w:szCs w:val="28"/>
        </w:rPr>
        <w:t>Циха</w:t>
      </w:r>
      <w:proofErr w:type="spellEnd"/>
      <w:r w:rsidR="00D02CB4" w:rsidRPr="008118F2">
        <w:rPr>
          <w:sz w:val="28"/>
          <w:szCs w:val="28"/>
        </w:rPr>
        <w:t>; А.М. Кытманова; Н.Н. Тарханова; Л.С. </w:t>
      </w:r>
      <w:proofErr w:type="spellStart"/>
      <w:r w:rsidR="00D02CB4" w:rsidRPr="008118F2">
        <w:rPr>
          <w:sz w:val="28"/>
          <w:szCs w:val="28"/>
        </w:rPr>
        <w:t>Маергойза</w:t>
      </w:r>
      <w:proofErr w:type="spellEnd"/>
      <w:r w:rsidR="00D02CB4" w:rsidRPr="008118F2">
        <w:rPr>
          <w:sz w:val="28"/>
          <w:szCs w:val="28"/>
        </w:rPr>
        <w:t xml:space="preserve">. </w:t>
      </w:r>
    </w:p>
    <w:p w:rsidR="008118F2" w:rsidRDefault="00D02CB4" w:rsidP="00552F76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8118F2">
        <w:rPr>
          <w:sz w:val="28"/>
          <w:szCs w:val="28"/>
        </w:rPr>
        <w:t xml:space="preserve">Получены фундаментальные результаты по комплексной выпуклости, которые впоследствии были использованы и дополнены до развитой теории в монографиях скандинавских коллег: </w:t>
      </w:r>
      <w:proofErr w:type="gramStart"/>
      <w:r w:rsidRPr="008118F2">
        <w:rPr>
          <w:sz w:val="28"/>
          <w:szCs w:val="28"/>
        </w:rPr>
        <w:t>Л. </w:t>
      </w:r>
      <w:proofErr w:type="spellStart"/>
      <w:r w:rsidRPr="008118F2">
        <w:rPr>
          <w:sz w:val="28"/>
          <w:szCs w:val="28"/>
        </w:rPr>
        <w:t>Хермандера</w:t>
      </w:r>
      <w:proofErr w:type="spellEnd"/>
      <w:r w:rsidRPr="008118F2">
        <w:rPr>
          <w:sz w:val="28"/>
          <w:szCs w:val="28"/>
        </w:rPr>
        <w:t xml:space="preserve"> (L.</w:t>
      </w:r>
      <w:proofErr w:type="gramEnd"/>
      <w:r w:rsidRPr="008118F2">
        <w:rPr>
          <w:sz w:val="28"/>
          <w:szCs w:val="28"/>
        </w:rPr>
        <w:t xml:space="preserve"> </w:t>
      </w:r>
      <w:proofErr w:type="spellStart"/>
      <w:proofErr w:type="gramStart"/>
      <w:r w:rsidRPr="008118F2">
        <w:rPr>
          <w:sz w:val="28"/>
          <w:szCs w:val="28"/>
        </w:rPr>
        <w:lastRenderedPageBreak/>
        <w:t>Hörmander</w:t>
      </w:r>
      <w:proofErr w:type="spellEnd"/>
      <w:r w:rsidRPr="008118F2">
        <w:rPr>
          <w:sz w:val="28"/>
          <w:szCs w:val="28"/>
        </w:rPr>
        <w:t>); М. </w:t>
      </w:r>
      <w:proofErr w:type="spellStart"/>
      <w:r w:rsidRPr="008118F2">
        <w:rPr>
          <w:sz w:val="28"/>
          <w:szCs w:val="28"/>
        </w:rPr>
        <w:t>Андерссона</w:t>
      </w:r>
      <w:proofErr w:type="spellEnd"/>
      <w:r w:rsidRPr="008118F2">
        <w:rPr>
          <w:sz w:val="28"/>
          <w:szCs w:val="28"/>
        </w:rPr>
        <w:t>, М. </w:t>
      </w:r>
      <w:proofErr w:type="spellStart"/>
      <w:r w:rsidRPr="008118F2">
        <w:rPr>
          <w:sz w:val="28"/>
          <w:szCs w:val="28"/>
        </w:rPr>
        <w:t>Пассаре</w:t>
      </w:r>
      <w:proofErr w:type="spellEnd"/>
      <w:r w:rsidRPr="008118F2">
        <w:rPr>
          <w:sz w:val="28"/>
          <w:szCs w:val="28"/>
        </w:rPr>
        <w:t xml:space="preserve"> и</w:t>
      </w:r>
      <w:proofErr w:type="gramEnd"/>
      <w:r w:rsidRPr="008118F2">
        <w:rPr>
          <w:sz w:val="28"/>
          <w:szCs w:val="28"/>
        </w:rPr>
        <w:t xml:space="preserve"> </w:t>
      </w:r>
      <w:proofErr w:type="gramStart"/>
      <w:r w:rsidRPr="008118F2">
        <w:rPr>
          <w:sz w:val="28"/>
          <w:szCs w:val="28"/>
        </w:rPr>
        <w:t>Р. </w:t>
      </w:r>
      <w:proofErr w:type="spellStart"/>
      <w:r w:rsidRPr="008118F2">
        <w:rPr>
          <w:sz w:val="28"/>
          <w:szCs w:val="28"/>
        </w:rPr>
        <w:t>Сигурссона</w:t>
      </w:r>
      <w:proofErr w:type="spellEnd"/>
      <w:r w:rsidRPr="008118F2">
        <w:rPr>
          <w:sz w:val="28"/>
          <w:szCs w:val="28"/>
        </w:rPr>
        <w:t xml:space="preserve"> (M.</w:t>
      </w:r>
      <w:proofErr w:type="gramEnd"/>
      <w:r w:rsidRPr="008118F2">
        <w:rPr>
          <w:sz w:val="28"/>
          <w:szCs w:val="28"/>
        </w:rPr>
        <w:t> </w:t>
      </w:r>
      <w:proofErr w:type="spellStart"/>
      <w:r w:rsidRPr="008118F2">
        <w:rPr>
          <w:sz w:val="28"/>
          <w:szCs w:val="28"/>
        </w:rPr>
        <w:t>Andersson</w:t>
      </w:r>
      <w:proofErr w:type="spellEnd"/>
      <w:r w:rsidRPr="008118F2">
        <w:rPr>
          <w:sz w:val="28"/>
          <w:szCs w:val="28"/>
        </w:rPr>
        <w:t>, M. </w:t>
      </w:r>
      <w:proofErr w:type="spellStart"/>
      <w:r w:rsidRPr="008118F2">
        <w:rPr>
          <w:sz w:val="28"/>
          <w:szCs w:val="28"/>
        </w:rPr>
        <w:t>Passare</w:t>
      </w:r>
      <w:proofErr w:type="spellEnd"/>
      <w:r w:rsidRPr="008118F2">
        <w:rPr>
          <w:sz w:val="28"/>
          <w:szCs w:val="28"/>
        </w:rPr>
        <w:t>, R. </w:t>
      </w:r>
      <w:proofErr w:type="spellStart"/>
      <w:proofErr w:type="gramStart"/>
      <w:r w:rsidRPr="008118F2">
        <w:rPr>
          <w:sz w:val="28"/>
          <w:szCs w:val="28"/>
        </w:rPr>
        <w:t>Sigursson</w:t>
      </w:r>
      <w:proofErr w:type="spellEnd"/>
      <w:r w:rsidRPr="008118F2">
        <w:rPr>
          <w:sz w:val="28"/>
          <w:szCs w:val="28"/>
        </w:rPr>
        <w:t xml:space="preserve">). </w:t>
      </w:r>
      <w:proofErr w:type="gramEnd"/>
    </w:p>
    <w:p w:rsidR="00D02CB4" w:rsidRPr="008118F2" w:rsidRDefault="008118F2" w:rsidP="00552F76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D02CB4" w:rsidRPr="008118F2">
        <w:rPr>
          <w:sz w:val="28"/>
          <w:szCs w:val="28"/>
        </w:rPr>
        <w:t>ешена проблема устойчивости двумерных цифровых рекурсивных фильтров.</w:t>
      </w:r>
    </w:p>
    <w:p w:rsidR="00D02CB4" w:rsidRPr="00C80D7F" w:rsidRDefault="00D02CB4" w:rsidP="00C80D7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80D7F">
        <w:rPr>
          <w:sz w:val="28"/>
          <w:szCs w:val="28"/>
        </w:rPr>
        <w:t>В настоящее время в составе школы 14 докторов наук, 35 кандидатов наук, 19 аспирантов и докторантов.</w:t>
      </w:r>
    </w:p>
    <w:p w:rsidR="00D02CB4" w:rsidRPr="00C80D7F" w:rsidRDefault="00D02CB4" w:rsidP="00C80D7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80D7F">
        <w:rPr>
          <w:sz w:val="28"/>
          <w:szCs w:val="28"/>
        </w:rPr>
        <w:t>За 2003-2006 гг. подготовлено 6 докторов и 12 кандидатов наук.</w:t>
      </w:r>
    </w:p>
    <w:p w:rsidR="000B3DD4" w:rsidRDefault="000B3DD4" w:rsidP="000B3D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B4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А. К. </w:t>
      </w:r>
      <w:proofErr w:type="spellStart"/>
      <w:r w:rsidRPr="001C3B4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Циха</w:t>
      </w:r>
      <w:proofErr w:type="spellEnd"/>
      <w:r w:rsidRPr="00F364EC">
        <w:rPr>
          <w:rFonts w:ascii="Times New Roman" w:hAnsi="Times New Roman" w:cs="Times New Roman"/>
          <w:sz w:val="28"/>
          <w:szCs w:val="28"/>
          <w:shd w:val="clear" w:color="auto" w:fill="FFFFFF"/>
        </w:rPr>
        <w:t> «Интегральные методы в комплексном анализе и алгебраической геометрии»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3DD4" w:rsidRPr="000B3DD4" w:rsidRDefault="000B3DD4" w:rsidP="000B3DD4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B3DD4">
        <w:rPr>
          <w:rFonts w:ascii="Times New Roman" w:hAnsi="Times New Roman" w:cs="Times New Roman"/>
          <w:color w:val="auto"/>
          <w:sz w:val="28"/>
          <w:szCs w:val="28"/>
        </w:rPr>
        <w:t>Основные научные результаты 2003 – 2006 гг.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B3DD4" w:rsidRPr="000B3DD4" w:rsidRDefault="000B3DD4" w:rsidP="00552F7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3DD4">
        <w:rPr>
          <w:rFonts w:ascii="Times New Roman" w:hAnsi="Times New Roman" w:cs="Times New Roman"/>
          <w:sz w:val="28"/>
          <w:szCs w:val="28"/>
        </w:rPr>
        <w:t xml:space="preserve">Разработан новый метод в теории многомерных вычетов </w:t>
      </w:r>
      <w:r w:rsidR="004C4FEB">
        <w:rPr>
          <w:rFonts w:ascii="Times New Roman" w:hAnsi="Times New Roman" w:cs="Times New Roman"/>
          <w:sz w:val="28"/>
          <w:szCs w:val="28"/>
        </w:rPr>
        <w:t>–</w:t>
      </w:r>
      <w:r w:rsidRPr="000B3DD4">
        <w:rPr>
          <w:rFonts w:ascii="Times New Roman" w:hAnsi="Times New Roman" w:cs="Times New Roman"/>
          <w:sz w:val="28"/>
          <w:szCs w:val="28"/>
        </w:rPr>
        <w:t xml:space="preserve"> метод разделяющих циклов, позволяющий сводить определенные классы кратных интегралов к сумме локальных вычетов Гротендика. Указанный метод применен к аналитическому продолжению гипергеометрических функций (Антипова И.А., Степаненко В.В.,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>. журн., 2003).</w:t>
      </w:r>
    </w:p>
    <w:p w:rsidR="000B3DD4" w:rsidRPr="000B3DD4" w:rsidRDefault="000B3DD4" w:rsidP="00552F7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3DD4">
        <w:rPr>
          <w:rFonts w:ascii="Times New Roman" w:hAnsi="Times New Roman" w:cs="Times New Roman"/>
          <w:sz w:val="28"/>
          <w:szCs w:val="28"/>
        </w:rPr>
        <w:t>Разработано учение об амебах алгебраических множеств. Доказано, что многогранник Ньютона алгебраической гиперповерхности отражает структуру амебы, найдены точные оценки сверху и снизу для числа связных компонент дополнения амебы к гиперповерхности (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Advances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>., 2000). С помощью теории амеб описаны сингулярные гиперповерхности гипергеометрических функций многих переменных, в частности, нулевые множества классических дискриминантов и </w:t>
      </w:r>
      <w:r w:rsidRPr="000B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0B3DD4">
        <w:rPr>
          <w:rFonts w:ascii="Times New Roman" w:hAnsi="Times New Roman" w:cs="Times New Roman"/>
          <w:sz w:val="28"/>
          <w:szCs w:val="28"/>
        </w:rPr>
        <w:t>-дискриминантов. А именно, доказано, что указанные гиперповерхности представляют собой многомерные обобщения того факта, что полином одного переменного имеет все свои корни одинакового модуля (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Passare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M.,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Sadykov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T.,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Tsikh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A.,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Compositio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>. 2005).</w:t>
      </w:r>
    </w:p>
    <w:p w:rsidR="000B3DD4" w:rsidRPr="000B3DD4" w:rsidRDefault="000B3DD4" w:rsidP="00552F7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3DD4">
        <w:rPr>
          <w:rFonts w:ascii="Times New Roman" w:hAnsi="Times New Roman" w:cs="Times New Roman"/>
          <w:sz w:val="28"/>
          <w:szCs w:val="28"/>
        </w:rPr>
        <w:t>Решена проблема асимптотического описания решений многомерных разностных уравнений: получен многомерный аналог теоремы Пуанкаре об асимптотике обыкновенного линейного разностного уравнения (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Лейнартас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Е.К.,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Пассаре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М.,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А.К., Успехи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>. наук, 2005).</w:t>
      </w:r>
    </w:p>
    <w:p w:rsidR="000B3DD4" w:rsidRPr="000B3DD4" w:rsidRDefault="000B3DD4" w:rsidP="00552F7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3DD4">
        <w:rPr>
          <w:rFonts w:ascii="Times New Roman" w:hAnsi="Times New Roman" w:cs="Times New Roman"/>
          <w:sz w:val="28"/>
          <w:szCs w:val="28"/>
        </w:rPr>
        <w:t xml:space="preserve">Доказано, что система гипергеометрических уравнений по Горну с двумя переменными является голономной для общих значений параметров. Найдена явная формула для ее ранга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голономности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>, а также построен базис ее голоморфных решений (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Sadykov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T.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Advances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>., 2005).</w:t>
      </w:r>
    </w:p>
    <w:p w:rsidR="000B3DD4" w:rsidRPr="000B3DD4" w:rsidRDefault="000B3DD4" w:rsidP="00552F7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3DD4">
        <w:rPr>
          <w:rFonts w:ascii="Times New Roman" w:hAnsi="Times New Roman" w:cs="Times New Roman"/>
          <w:sz w:val="28"/>
          <w:szCs w:val="28"/>
        </w:rPr>
        <w:t xml:space="preserve">Получена голоморфная формула Лефшеца для числа неподвижных точек голоморфного эндоморфизма строго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псевдовыпуклых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областей в комплексных многообразиях. Введено понятие обобщенного следа интеграла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Хенкена-Рамиреза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, изучено его главное значение по Коши. </w:t>
      </w:r>
      <w:r w:rsidRPr="000B3DD4">
        <w:rPr>
          <w:rFonts w:ascii="Times New Roman" w:hAnsi="Times New Roman" w:cs="Times New Roman"/>
          <w:sz w:val="28"/>
          <w:szCs w:val="28"/>
        </w:rPr>
        <w:lastRenderedPageBreak/>
        <w:t>Тем самым получен ответ на вопрос, поставленный М.А. Шубиным в начале 90-х годов (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Кытманов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А.М.,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Мысливец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С.Г.,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. сб., 2004,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>. журн., 2005).</w:t>
      </w:r>
    </w:p>
    <w:p w:rsidR="000B3DD4" w:rsidRPr="000B3DD4" w:rsidRDefault="000B3DD4" w:rsidP="00552F7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3DD4">
        <w:rPr>
          <w:rFonts w:ascii="Times New Roman" w:hAnsi="Times New Roman" w:cs="Times New Roman"/>
          <w:sz w:val="28"/>
          <w:szCs w:val="28"/>
        </w:rPr>
        <w:t>Для ограниченных областей с гладкими границами в </w:t>
      </w:r>
      <w:proofErr w:type="spellStart"/>
      <w:r w:rsidRPr="000B3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0B3DD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n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построены точные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подкомплексы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комплекса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Дольбо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, такие, что соответствующие двойные комплексы являются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Фредгольмовыми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3DD4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0B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характеризация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таких точных комплексов. Тем самым впервые указана возможность рассмотрения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Фредгольмовых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граничных задач для комплекса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Дольбо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>. журн., 2003).</w:t>
      </w:r>
    </w:p>
    <w:p w:rsidR="000B3DD4" w:rsidRPr="000B3DD4" w:rsidRDefault="000B3DD4" w:rsidP="00552F7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3DD4">
        <w:rPr>
          <w:rFonts w:ascii="Times New Roman" w:hAnsi="Times New Roman" w:cs="Times New Roman"/>
          <w:sz w:val="28"/>
          <w:szCs w:val="28"/>
        </w:rPr>
        <w:t xml:space="preserve">Разработаны принципы применения базисов </w:t>
      </w:r>
      <w:proofErr w:type="gramStart"/>
      <w:r w:rsidRPr="000B3DD4">
        <w:rPr>
          <w:rFonts w:ascii="Times New Roman" w:hAnsi="Times New Roman" w:cs="Times New Roman"/>
          <w:sz w:val="28"/>
          <w:szCs w:val="28"/>
        </w:rPr>
        <w:t>с двойной ортогональностью к исследованию некорректной задачи Коши для систем линейных дифференциальных уравнений в частных производных с инъективным символом</w:t>
      </w:r>
      <w:proofErr w:type="gramEnd"/>
      <w:r w:rsidRPr="000B3DD4">
        <w:rPr>
          <w:rFonts w:ascii="Times New Roman" w:hAnsi="Times New Roman" w:cs="Times New Roman"/>
          <w:sz w:val="28"/>
          <w:szCs w:val="28"/>
        </w:rPr>
        <w:t xml:space="preserve">. Получены необходимые и достаточные условия разрешимости задачи, а также </w:t>
      </w:r>
      <w:proofErr w:type="gramStart"/>
      <w:r w:rsidRPr="000B3DD4">
        <w:rPr>
          <w:rFonts w:ascii="Times New Roman" w:hAnsi="Times New Roman" w:cs="Times New Roman"/>
          <w:sz w:val="28"/>
          <w:szCs w:val="28"/>
        </w:rPr>
        <w:t>формулы</w:t>
      </w:r>
      <w:proofErr w:type="gramEnd"/>
      <w:r w:rsidRPr="000B3DD4">
        <w:rPr>
          <w:rFonts w:ascii="Times New Roman" w:hAnsi="Times New Roman" w:cs="Times New Roman"/>
          <w:sz w:val="28"/>
          <w:szCs w:val="28"/>
        </w:rPr>
        <w:t xml:space="preserve"> как для точного, так и для приближенных решений задачи. </w:t>
      </w:r>
      <w:proofErr w:type="gramStart"/>
      <w:r w:rsidRPr="000B3DD4">
        <w:rPr>
          <w:rFonts w:ascii="Times New Roman" w:hAnsi="Times New Roman" w:cs="Times New Roman"/>
          <w:sz w:val="28"/>
          <w:szCs w:val="28"/>
        </w:rPr>
        <w:t xml:space="preserve">Предложен конструктивный способ описания двойственностей для пространств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Фреше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решений таких систем на открытых связных подмножествах многообразий (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Shlapunov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A.A.,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Tarkhanov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 N.N.,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Intern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3DD4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D4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B3DD4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>., 2003).</w:t>
      </w:r>
      <w:proofErr w:type="gramEnd"/>
    </w:p>
    <w:p w:rsidR="000B3DD4" w:rsidRDefault="000B3DD4" w:rsidP="000B3DD4">
      <w:pPr>
        <w:pStyle w:val="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B3DD4">
        <w:rPr>
          <w:rFonts w:ascii="Times New Roman" w:hAnsi="Times New Roman" w:cs="Times New Roman"/>
          <w:color w:val="auto"/>
          <w:sz w:val="28"/>
          <w:szCs w:val="28"/>
        </w:rPr>
        <w:t>Научные связи школы в рамках совместных проектов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6"/>
      </w:tblGrid>
      <w:tr w:rsidR="000B3DD4" w:rsidTr="000B3DD4">
        <w:tc>
          <w:tcPr>
            <w:tcW w:w="4806" w:type="dxa"/>
          </w:tcPr>
          <w:p w:rsidR="000B3DD4" w:rsidRDefault="000B3DD4" w:rsidP="000B3DD4">
            <w:r w:rsidRPr="000B3D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06BCB4" wp14:editId="22821498">
                  <wp:extent cx="2910178" cy="2191629"/>
                  <wp:effectExtent l="0" t="0" r="5080" b="0"/>
                  <wp:docPr id="8" name="Рисунок 8" descr="https://research.sfu-kras.ru/sites/research.sfu-kras.ru/files/konfer2002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earch.sfu-kras.ru/sites/research.sfu-kras.ru/files/konfer2002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884" cy="219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</w:tcPr>
          <w:p w:rsidR="000B3DD4" w:rsidRPr="000B3DD4" w:rsidRDefault="000B3DD4" w:rsidP="000B3DD4">
            <w:pPr>
              <w:pStyle w:val="ad"/>
              <w:shd w:val="clear" w:color="auto" w:fill="FFFFFF"/>
              <w:spacing w:before="24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0B3DD4">
              <w:rPr>
                <w:b/>
                <w:bCs/>
                <w:sz w:val="28"/>
                <w:szCs w:val="28"/>
              </w:rPr>
              <w:t>Российские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0B3DD4" w:rsidRDefault="000B3DD4" w:rsidP="000B3DD4">
            <w:pPr>
              <w:spacing w:line="276" w:lineRule="auto"/>
              <w:ind w:firstLine="687"/>
              <w:jc w:val="both"/>
            </w:pPr>
            <w:r w:rsidRPr="000B3DD4">
              <w:rPr>
                <w:rFonts w:ascii="Times New Roman" w:hAnsi="Times New Roman" w:cs="Times New Roman"/>
                <w:sz w:val="28"/>
                <w:szCs w:val="28"/>
              </w:rPr>
              <w:t>Математический институт им. В.А. Стеклова РАН, Московский государственный университет, Институт проблем управления РАН (Москва),</w:t>
            </w:r>
            <w:r w:rsidRPr="000B3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DD4">
              <w:rPr>
                <w:rFonts w:ascii="Times New Roman" w:hAnsi="Times New Roman" w:cs="Times New Roman"/>
                <w:sz w:val="28"/>
                <w:szCs w:val="28"/>
              </w:rPr>
              <w:t>Институт математики им. С.Л. Соболева РАН (Новосибирск),</w:t>
            </w:r>
            <w:r w:rsidRPr="000B3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DD4">
              <w:rPr>
                <w:rFonts w:ascii="Times New Roman" w:hAnsi="Times New Roman" w:cs="Times New Roman"/>
                <w:sz w:val="28"/>
                <w:szCs w:val="28"/>
              </w:rPr>
              <w:t>Новосибирский государственный университет,</w:t>
            </w:r>
            <w:r w:rsidRPr="000B3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B3DD4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Кемеровский </w:t>
            </w:r>
          </w:p>
        </w:tc>
      </w:tr>
    </w:tbl>
    <w:p w:rsidR="000B3DD4" w:rsidRPr="000B3DD4" w:rsidRDefault="000B3DD4" w:rsidP="000B3DD4">
      <w:pPr>
        <w:jc w:val="both"/>
        <w:rPr>
          <w:rFonts w:ascii="Times New Roman" w:hAnsi="Times New Roman" w:cs="Times New Roman"/>
          <w:sz w:val="28"/>
          <w:szCs w:val="28"/>
        </w:rPr>
      </w:pPr>
      <w:r w:rsidRPr="000B3DD4">
        <w:rPr>
          <w:rFonts w:ascii="Times New Roman" w:hAnsi="Times New Roman" w:cs="Times New Roman"/>
          <w:sz w:val="28"/>
          <w:szCs w:val="28"/>
        </w:rPr>
        <w:t>Г</w:t>
      </w:r>
      <w:r w:rsidRPr="000B3DD4">
        <w:rPr>
          <w:rFonts w:ascii="Times New Roman" w:hAnsi="Times New Roman" w:cs="Times New Roman"/>
          <w:sz w:val="28"/>
          <w:szCs w:val="28"/>
        </w:rPr>
        <w:t>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DD4">
        <w:rPr>
          <w:rFonts w:ascii="Times New Roman" w:hAnsi="Times New Roman" w:cs="Times New Roman"/>
          <w:sz w:val="28"/>
          <w:szCs w:val="28"/>
        </w:rPr>
        <w:t xml:space="preserve">университет, Институт математики с вычислительным центром Уральского научного центра (Уфа), Челябинский государственный университет, Институт программных систем РАН (Переславль – Залесский), Московский </w:t>
      </w:r>
      <w:proofErr w:type="spellStart"/>
      <w:proofErr w:type="gramStart"/>
      <w:r w:rsidRPr="000B3DD4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B3DD4">
        <w:rPr>
          <w:rFonts w:ascii="Times New Roman" w:hAnsi="Times New Roman" w:cs="Times New Roman"/>
          <w:sz w:val="28"/>
          <w:szCs w:val="28"/>
        </w:rPr>
        <w:t xml:space="preserve"> – технический</w:t>
      </w:r>
      <w:proofErr w:type="gramEnd"/>
      <w:r w:rsidRPr="000B3DD4">
        <w:rPr>
          <w:rFonts w:ascii="Times New Roman" w:hAnsi="Times New Roman" w:cs="Times New Roman"/>
          <w:sz w:val="28"/>
          <w:szCs w:val="28"/>
        </w:rPr>
        <w:t xml:space="preserve"> университет.</w:t>
      </w:r>
    </w:p>
    <w:p w:rsidR="000B3DD4" w:rsidRPr="000B3DD4" w:rsidRDefault="000B3DD4" w:rsidP="000B3DD4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B3DD4">
        <w:rPr>
          <w:b/>
          <w:bCs/>
          <w:sz w:val="28"/>
          <w:szCs w:val="28"/>
        </w:rPr>
        <w:t>Международные</w:t>
      </w:r>
      <w:r>
        <w:rPr>
          <w:b/>
          <w:bCs/>
          <w:sz w:val="28"/>
          <w:szCs w:val="28"/>
        </w:rPr>
        <w:t>: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Университеты Стокгольма и Гетеборга (Швеция),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Институт Макса – Планка в Бонне,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 им. </w:t>
      </w:r>
      <w:proofErr w:type="spellStart"/>
      <w:r w:rsidRPr="000B3DD4">
        <w:rPr>
          <w:sz w:val="28"/>
          <w:szCs w:val="28"/>
        </w:rPr>
        <w:t>Гумбольта</w:t>
      </w:r>
      <w:proofErr w:type="spellEnd"/>
      <w:r w:rsidRPr="000B3DD4">
        <w:rPr>
          <w:sz w:val="28"/>
          <w:szCs w:val="28"/>
        </w:rPr>
        <w:t xml:space="preserve"> в Берлине,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 Потсдама (Германия),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lastRenderedPageBreak/>
        <w:t xml:space="preserve">Университет Париж – 6,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Университеты Бордо и Лиля (Франция),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Университеты Пизы и Калабрии (Италия),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 Кипра,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Университеты Беркли, </w:t>
      </w:r>
      <w:proofErr w:type="spellStart"/>
      <w:r w:rsidRPr="000B3DD4">
        <w:rPr>
          <w:sz w:val="28"/>
          <w:szCs w:val="28"/>
        </w:rPr>
        <w:t>Мэрилэнда</w:t>
      </w:r>
      <w:proofErr w:type="spellEnd"/>
      <w:r w:rsidRPr="000B3DD4">
        <w:rPr>
          <w:sz w:val="28"/>
          <w:szCs w:val="28"/>
        </w:rPr>
        <w:t xml:space="preserve">, </w:t>
      </w:r>
      <w:proofErr w:type="spellStart"/>
      <w:r w:rsidRPr="000B3DD4">
        <w:rPr>
          <w:sz w:val="28"/>
          <w:szCs w:val="28"/>
        </w:rPr>
        <w:t>Амхерста</w:t>
      </w:r>
      <w:proofErr w:type="spellEnd"/>
      <w:r w:rsidRPr="000B3DD4">
        <w:rPr>
          <w:sz w:val="28"/>
          <w:szCs w:val="28"/>
        </w:rPr>
        <w:t xml:space="preserve"> (США),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 </w:t>
      </w:r>
      <w:proofErr w:type="gramStart"/>
      <w:r w:rsidRPr="000B3DD4">
        <w:rPr>
          <w:sz w:val="28"/>
          <w:szCs w:val="28"/>
        </w:rPr>
        <w:t>Буэнос – Айрес</w:t>
      </w:r>
      <w:proofErr w:type="gramEnd"/>
      <w:r w:rsidRPr="000B3DD4">
        <w:rPr>
          <w:sz w:val="28"/>
          <w:szCs w:val="28"/>
        </w:rPr>
        <w:t xml:space="preserve"> (Аргентина),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Исследовательский институт математических наук (RIMS) в Киото,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Pr="000B3DD4">
        <w:rPr>
          <w:sz w:val="28"/>
          <w:szCs w:val="28"/>
        </w:rPr>
        <w:t xml:space="preserve">ниверситеты </w:t>
      </w:r>
      <w:proofErr w:type="spellStart"/>
      <w:r w:rsidRPr="000B3DD4">
        <w:rPr>
          <w:sz w:val="28"/>
          <w:szCs w:val="28"/>
        </w:rPr>
        <w:t>Нагои</w:t>
      </w:r>
      <w:proofErr w:type="spellEnd"/>
      <w:r w:rsidRPr="000B3DD4">
        <w:rPr>
          <w:sz w:val="28"/>
          <w:szCs w:val="28"/>
        </w:rPr>
        <w:t xml:space="preserve"> и </w:t>
      </w:r>
      <w:proofErr w:type="spellStart"/>
      <w:r w:rsidRPr="000B3DD4">
        <w:rPr>
          <w:sz w:val="28"/>
          <w:szCs w:val="28"/>
        </w:rPr>
        <w:t>Кумамото</w:t>
      </w:r>
      <w:proofErr w:type="spellEnd"/>
      <w:r w:rsidRPr="000B3DD4">
        <w:rPr>
          <w:sz w:val="28"/>
          <w:szCs w:val="28"/>
        </w:rPr>
        <w:t xml:space="preserve"> (Япония),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Университеты </w:t>
      </w:r>
      <w:proofErr w:type="spellStart"/>
      <w:r w:rsidRPr="000B3DD4">
        <w:rPr>
          <w:sz w:val="28"/>
          <w:szCs w:val="28"/>
        </w:rPr>
        <w:t>Армиделя</w:t>
      </w:r>
      <w:proofErr w:type="spellEnd"/>
      <w:r w:rsidRPr="000B3DD4">
        <w:rPr>
          <w:sz w:val="28"/>
          <w:szCs w:val="28"/>
        </w:rPr>
        <w:t xml:space="preserve"> и Канберры (Австралия),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 Западного Онтарио (Лондон, Канада), </w:t>
      </w:r>
    </w:p>
    <w:p w:rsid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 xml:space="preserve">Университеты Ташкента, Нукуса, Хорезма (Узбекистан), </w:t>
      </w:r>
    </w:p>
    <w:p w:rsidR="000B3DD4" w:rsidRPr="000B3DD4" w:rsidRDefault="000B3DD4" w:rsidP="00552F76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B3DD4">
        <w:rPr>
          <w:sz w:val="28"/>
          <w:szCs w:val="28"/>
        </w:rPr>
        <w:t>Университет имени Бар-</w:t>
      </w:r>
      <w:proofErr w:type="spellStart"/>
      <w:r w:rsidRPr="000B3DD4">
        <w:rPr>
          <w:sz w:val="28"/>
          <w:szCs w:val="28"/>
        </w:rPr>
        <w:t>Илана</w:t>
      </w:r>
      <w:proofErr w:type="spellEnd"/>
      <w:r w:rsidRPr="000B3DD4">
        <w:rPr>
          <w:sz w:val="28"/>
          <w:szCs w:val="28"/>
        </w:rPr>
        <w:t xml:space="preserve"> (Израиль).</w:t>
      </w:r>
    </w:p>
    <w:p w:rsidR="00B74460" w:rsidRDefault="00CE2192" w:rsidP="0033685E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B74460">
        <w:rPr>
          <w:rFonts w:ascii="Times New Roman" w:hAnsi="Times New Roman" w:cs="Times New Roman"/>
          <w:b/>
          <w:sz w:val="28"/>
          <w:szCs w:val="28"/>
        </w:rPr>
        <w:t>и</w:t>
      </w:r>
      <w:r w:rsidRPr="0033685E">
        <w:rPr>
          <w:rFonts w:ascii="Times New Roman" w:hAnsi="Times New Roman" w:cs="Times New Roman"/>
          <w:b/>
          <w:sz w:val="28"/>
          <w:szCs w:val="28"/>
        </w:rPr>
        <w:t>:</w:t>
      </w:r>
      <w:r w:rsidRPr="00C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4A" w:rsidRDefault="00D02CB4" w:rsidP="00D02CB4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B4">
        <w:rPr>
          <w:rFonts w:ascii="Times New Roman" w:hAnsi="Times New Roman" w:cs="Times New Roman"/>
          <w:sz w:val="28"/>
          <w:szCs w:val="28"/>
        </w:rPr>
        <w:t>https://research.sfu-kras.ru/science/schools/tsikh</w:t>
      </w:r>
    </w:p>
    <w:sectPr w:rsidR="00C0094A" w:rsidSect="0030755D">
      <w:footerReference w:type="default" r:id="rId11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76" w:rsidRDefault="00552F76" w:rsidP="000A5A17">
      <w:pPr>
        <w:spacing w:after="0" w:line="240" w:lineRule="auto"/>
      </w:pPr>
      <w:r>
        <w:separator/>
      </w:r>
    </w:p>
  </w:endnote>
  <w:endnote w:type="continuationSeparator" w:id="0">
    <w:p w:rsidR="00552F76" w:rsidRDefault="00552F76" w:rsidP="000A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436408"/>
      <w:docPartObj>
        <w:docPartGallery w:val="Page Numbers (Bottom of Page)"/>
        <w:docPartUnique/>
      </w:docPartObj>
    </w:sdtPr>
    <w:sdtEndPr/>
    <w:sdtContent>
      <w:p w:rsidR="003917C7" w:rsidRDefault="003917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FEB">
          <w:rPr>
            <w:noProof/>
          </w:rPr>
          <w:t>3</w:t>
        </w:r>
        <w:r>
          <w:fldChar w:fldCharType="end"/>
        </w:r>
      </w:p>
    </w:sdtContent>
  </w:sdt>
  <w:p w:rsidR="003917C7" w:rsidRDefault="003917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76" w:rsidRDefault="00552F76" w:rsidP="000A5A17">
      <w:pPr>
        <w:spacing w:after="0" w:line="240" w:lineRule="auto"/>
      </w:pPr>
      <w:r>
        <w:separator/>
      </w:r>
    </w:p>
  </w:footnote>
  <w:footnote w:type="continuationSeparator" w:id="0">
    <w:p w:rsidR="00552F76" w:rsidRDefault="00552F76" w:rsidP="000A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E77"/>
    <w:multiLevelType w:val="hybridMultilevel"/>
    <w:tmpl w:val="6BD09BA8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244C42"/>
    <w:multiLevelType w:val="hybridMultilevel"/>
    <w:tmpl w:val="A244A648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E16B83"/>
    <w:multiLevelType w:val="multilevel"/>
    <w:tmpl w:val="9F46AC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B"/>
    <w:rsid w:val="000108B1"/>
    <w:rsid w:val="0001574E"/>
    <w:rsid w:val="00025877"/>
    <w:rsid w:val="00063150"/>
    <w:rsid w:val="00096A3C"/>
    <w:rsid w:val="000A5A17"/>
    <w:rsid w:val="000B3DD4"/>
    <w:rsid w:val="000D373B"/>
    <w:rsid w:val="0016488E"/>
    <w:rsid w:val="00174EBB"/>
    <w:rsid w:val="001A5B0F"/>
    <w:rsid w:val="001C0631"/>
    <w:rsid w:val="001D3EE2"/>
    <w:rsid w:val="001E634B"/>
    <w:rsid w:val="002630DD"/>
    <w:rsid w:val="0027040D"/>
    <w:rsid w:val="00300BE3"/>
    <w:rsid w:val="0030755D"/>
    <w:rsid w:val="00312F6F"/>
    <w:rsid w:val="0033685E"/>
    <w:rsid w:val="00337C18"/>
    <w:rsid w:val="00356E8A"/>
    <w:rsid w:val="003575E6"/>
    <w:rsid w:val="0036011E"/>
    <w:rsid w:val="0036638B"/>
    <w:rsid w:val="003818C9"/>
    <w:rsid w:val="003917C7"/>
    <w:rsid w:val="003961A2"/>
    <w:rsid w:val="004233D9"/>
    <w:rsid w:val="004500B6"/>
    <w:rsid w:val="00481C56"/>
    <w:rsid w:val="004821D0"/>
    <w:rsid w:val="00484249"/>
    <w:rsid w:val="00484E13"/>
    <w:rsid w:val="004B31F9"/>
    <w:rsid w:val="004C4FEB"/>
    <w:rsid w:val="00516B94"/>
    <w:rsid w:val="0053185F"/>
    <w:rsid w:val="00552F76"/>
    <w:rsid w:val="005B424E"/>
    <w:rsid w:val="005B7F9D"/>
    <w:rsid w:val="00641686"/>
    <w:rsid w:val="006A05B9"/>
    <w:rsid w:val="006A170C"/>
    <w:rsid w:val="006B3008"/>
    <w:rsid w:val="006F0BE6"/>
    <w:rsid w:val="0071449D"/>
    <w:rsid w:val="007243A2"/>
    <w:rsid w:val="007A219A"/>
    <w:rsid w:val="00802A70"/>
    <w:rsid w:val="008118F2"/>
    <w:rsid w:val="00856349"/>
    <w:rsid w:val="00860F22"/>
    <w:rsid w:val="00867CAA"/>
    <w:rsid w:val="00872E8C"/>
    <w:rsid w:val="008761F5"/>
    <w:rsid w:val="008B121C"/>
    <w:rsid w:val="008E4E8F"/>
    <w:rsid w:val="00943D27"/>
    <w:rsid w:val="00963337"/>
    <w:rsid w:val="009A278E"/>
    <w:rsid w:val="00A25D29"/>
    <w:rsid w:val="00AD3595"/>
    <w:rsid w:val="00B44ED5"/>
    <w:rsid w:val="00B63C51"/>
    <w:rsid w:val="00B74460"/>
    <w:rsid w:val="00B81BA0"/>
    <w:rsid w:val="00BF1A7D"/>
    <w:rsid w:val="00C0094A"/>
    <w:rsid w:val="00C31094"/>
    <w:rsid w:val="00C73260"/>
    <w:rsid w:val="00C80D7F"/>
    <w:rsid w:val="00CB04B9"/>
    <w:rsid w:val="00CD1E15"/>
    <w:rsid w:val="00CE2192"/>
    <w:rsid w:val="00D02CB4"/>
    <w:rsid w:val="00D14D59"/>
    <w:rsid w:val="00DF64EE"/>
    <w:rsid w:val="00E24610"/>
    <w:rsid w:val="00E3361F"/>
    <w:rsid w:val="00E858A3"/>
    <w:rsid w:val="00ED765D"/>
    <w:rsid w:val="00F32119"/>
    <w:rsid w:val="00F51A16"/>
    <w:rsid w:val="00F95F2B"/>
    <w:rsid w:val="00FA723B"/>
    <w:rsid w:val="00FB466B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  <w:style w:type="character" w:styleId="ac">
    <w:name w:val="Hyperlink"/>
    <w:basedOn w:val="a0"/>
    <w:uiPriority w:val="99"/>
    <w:unhideWhenUsed/>
    <w:rsid w:val="00B44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B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01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  <w:style w:type="character" w:styleId="ac">
    <w:name w:val="Hyperlink"/>
    <w:basedOn w:val="a0"/>
    <w:uiPriority w:val="99"/>
    <w:unhideWhenUsed/>
    <w:rsid w:val="00B44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B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01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843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738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2021-01-06T17:42:00Z</dcterms:created>
  <dcterms:modified xsi:type="dcterms:W3CDTF">2021-01-06T19:14:00Z</dcterms:modified>
</cp:coreProperties>
</file>